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E3" w:rsidRDefault="002D1C89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  <w:r>
        <w:rPr>
          <w:b/>
          <w:color w:val="auto"/>
          <w:sz w:val="24"/>
          <w:szCs w:val="24"/>
          <w:lang w:val="bg-BG" w:eastAsia="en-US"/>
        </w:rPr>
        <w:t>П</w:t>
      </w:r>
    </w:p>
    <w:p w:rsidR="00D23AE3" w:rsidRDefault="00D23AE3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D23AE3" w:rsidRDefault="00D23AE3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D23AE3" w:rsidRDefault="00D23AE3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D23AE3" w:rsidRDefault="00D23AE3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Default="00D23AE3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  <w:r>
        <w:rPr>
          <w:b/>
          <w:color w:val="auto"/>
          <w:sz w:val="24"/>
          <w:szCs w:val="24"/>
          <w:lang w:val="bg-BG" w:eastAsia="en-US"/>
        </w:rPr>
        <w:t xml:space="preserve">               </w:t>
      </w:r>
      <w:r w:rsidR="003014C9">
        <w:rPr>
          <w:b/>
          <w:color w:val="auto"/>
          <w:sz w:val="24"/>
          <w:szCs w:val="24"/>
          <w:lang w:val="bg-BG" w:eastAsia="en-US"/>
        </w:rPr>
        <w:t>П</w:t>
      </w:r>
      <w:r>
        <w:rPr>
          <w:b/>
          <w:color w:val="auto"/>
          <w:sz w:val="24"/>
          <w:szCs w:val="24"/>
          <w:lang w:val="bg-BG" w:eastAsia="en-US"/>
        </w:rPr>
        <w:t>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D23AE3" w:rsidRDefault="00D23AE3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D23AE3" w:rsidRDefault="00D23AE3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D23AE3" w:rsidRDefault="00D23AE3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D23AE3" w:rsidRDefault="00D23AE3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D23AE3" w:rsidRDefault="00D23AE3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 w:rsidRPr="006C41FE">
        <w:rPr>
          <w:b/>
          <w:sz w:val="24"/>
          <w:szCs w:val="24"/>
          <w:lang w:val="bg-BG"/>
        </w:rPr>
        <w:t>за липса на свързаност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D23AE3" w:rsidP="002D1C89">
      <w:pPr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bg-BG"/>
        </w:rPr>
        <w:t xml:space="preserve">                        </w:t>
      </w:r>
      <w:r w:rsidR="007D6A4E"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D23AE3" w:rsidP="002D1C89">
      <w:pPr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bg-BG"/>
        </w:rPr>
        <w:t xml:space="preserve">                 </w:t>
      </w:r>
      <w:r w:rsidR="007D6A4E"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D23AE3" w:rsidP="002D1C89">
      <w:pPr>
        <w:ind w:left="1416" w:firstLine="709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bg-BG"/>
        </w:rPr>
        <w:t xml:space="preserve">               </w:t>
      </w:r>
      <w:r w:rsidR="007D6A4E" w:rsidRPr="008B71A1">
        <w:rPr>
          <w:i/>
          <w:color w:val="auto"/>
          <w:sz w:val="24"/>
          <w:szCs w:val="24"/>
          <w:lang w:val="bg-BG"/>
        </w:rPr>
        <w:t>(длъжно</w:t>
      </w:r>
      <w:r w:rsidR="007D6A4E">
        <w:rPr>
          <w:i/>
          <w:color w:val="auto"/>
          <w:sz w:val="24"/>
          <w:szCs w:val="24"/>
          <w:lang w:val="bg-BG"/>
        </w:rPr>
        <w:t>ст)</w:t>
      </w:r>
      <w:r w:rsidR="007D6A4E">
        <w:rPr>
          <w:i/>
          <w:color w:val="auto"/>
          <w:sz w:val="24"/>
          <w:szCs w:val="24"/>
          <w:lang w:val="bg-BG"/>
        </w:rPr>
        <w:tab/>
      </w:r>
      <w:r w:rsidR="007D6A4E">
        <w:rPr>
          <w:i/>
          <w:color w:val="auto"/>
          <w:sz w:val="24"/>
          <w:szCs w:val="24"/>
          <w:lang w:val="bg-BG"/>
        </w:rPr>
        <w:tab/>
      </w:r>
      <w:r w:rsidR="007D6A4E"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="007D6A4E" w:rsidRPr="008B71A1">
        <w:rPr>
          <w:i/>
          <w:color w:val="auto"/>
          <w:sz w:val="24"/>
          <w:szCs w:val="24"/>
          <w:lang w:val="bg-BG"/>
        </w:rPr>
        <w:t>)</w:t>
      </w:r>
    </w:p>
    <w:p w:rsidR="007D6A4E" w:rsidRPr="002D1C89" w:rsidRDefault="002D1C89" w:rsidP="002D1C89">
      <w:pPr>
        <w:ind w:firstLine="540"/>
        <w:jc w:val="both"/>
        <w:rPr>
          <w:b/>
          <w:i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  <w:r w:rsidRPr="002D1C89">
        <w:rPr>
          <w:b/>
          <w:i/>
          <w:sz w:val="24"/>
          <w:szCs w:val="24"/>
          <w:lang w:val="bg-BG"/>
        </w:rPr>
        <w:t>„</w:t>
      </w:r>
      <w:r w:rsidR="00EC7CDE">
        <w:rPr>
          <w:b/>
          <w:i/>
          <w:sz w:val="24"/>
          <w:szCs w:val="24"/>
          <w:lang w:val="bg-BG"/>
        </w:rPr>
        <w:t>Извършване на СМР за обект</w:t>
      </w:r>
      <w:r w:rsidRPr="002D1C89">
        <w:rPr>
          <w:b/>
          <w:i/>
          <w:sz w:val="24"/>
          <w:szCs w:val="24"/>
          <w:lang w:val="bg-BG"/>
        </w:rPr>
        <w:t xml:space="preserve">: Изграждане на закрита спортна инфраструктура в УПИ II – 934, с. Белозем, общ. Раковски“ </w:t>
      </w:r>
      <w:r w:rsidRPr="002D1C89">
        <w:rPr>
          <w:sz w:val="24"/>
          <w:szCs w:val="24"/>
          <w:lang w:val="bg-BG"/>
        </w:rPr>
        <w:t>по Процедура чрез подбор № BG06RDNP001-7.005 – Физкултурен салон „Изграждане на закрита спортна инфраструктура, включително оборудването и/или обзавеждането й в общинска образователна инфраструктура с местно значение, в която няма изградена закрита спортна</w:t>
      </w:r>
      <w:r w:rsidR="00D23AE3">
        <w:rPr>
          <w:sz w:val="24"/>
          <w:szCs w:val="24"/>
          <w:lang w:val="bg-BG"/>
        </w:rPr>
        <w:t xml:space="preserve"> инфраструктура </w:t>
      </w:r>
      <w:r w:rsidRPr="002D1C89">
        <w:rPr>
          <w:sz w:val="24"/>
          <w:szCs w:val="24"/>
          <w:lang w:val="bg-BG"/>
        </w:rPr>
        <w:t>и която включва основно или средно училище</w:t>
      </w:r>
      <w:r w:rsidR="00D23AE3">
        <w:rPr>
          <w:sz w:val="24"/>
          <w:szCs w:val="24"/>
          <w:lang w:val="bg-BG"/>
        </w:rPr>
        <w:t>,</w:t>
      </w:r>
      <w:r w:rsidRPr="002D1C89">
        <w:rPr>
          <w:sz w:val="24"/>
          <w:szCs w:val="24"/>
          <w:lang w:val="bg-BG"/>
        </w:rPr>
        <w:t xml:space="preserve"> финансирано чрез бюджета на общината“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</w:t>
      </w:r>
      <w:r>
        <w:rPr>
          <w:sz w:val="24"/>
          <w:szCs w:val="24"/>
          <w:lang w:val="bg-BG"/>
        </w:rPr>
        <w:t>айони за периода 2014 – 2020 г.</w:t>
      </w:r>
    </w:p>
    <w:p w:rsidR="002D1C89" w:rsidRDefault="002D1C89" w:rsidP="007D6A4E">
      <w:pPr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D23AE3" w:rsidRDefault="00D23AE3" w:rsidP="00D23AE3">
      <w:pPr>
        <w:jc w:val="both"/>
        <w:rPr>
          <w:color w:val="auto"/>
          <w:sz w:val="24"/>
          <w:szCs w:val="24"/>
          <w:lang w:val="bg-BG"/>
        </w:rPr>
      </w:pPr>
    </w:p>
    <w:p w:rsidR="00D23AE3" w:rsidRDefault="00D23AE3" w:rsidP="00D23AE3">
      <w:pPr>
        <w:jc w:val="both"/>
        <w:rPr>
          <w:color w:val="auto"/>
          <w:sz w:val="24"/>
          <w:szCs w:val="24"/>
          <w:lang w:val="bg-BG"/>
        </w:rPr>
      </w:pPr>
    </w:p>
    <w:p w:rsidR="007D6A4E" w:rsidRPr="006C41FE" w:rsidRDefault="007D6A4E" w:rsidP="00D23AE3">
      <w:pPr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D23AE3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lastRenderedPageBreak/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D23AE3" w:rsidRDefault="00D23AE3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Default="007D6A4E" w:rsidP="007D6A4E">
      <w:pPr>
        <w:spacing w:line="360" w:lineRule="auto"/>
        <w:rPr>
          <w:b/>
          <w:color w:val="auto"/>
          <w:sz w:val="24"/>
          <w:szCs w:val="24"/>
          <w:lang w:val="bg-BG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D23AE3">
        <w:rPr>
          <w:b/>
          <w:color w:val="auto"/>
          <w:sz w:val="24"/>
          <w:szCs w:val="24"/>
          <w:lang w:val="ru-RU"/>
        </w:rPr>
        <w:t xml:space="preserve">                  </w:t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p w:rsidR="00D23AE3" w:rsidRPr="00D23AE3" w:rsidRDefault="00D23AE3" w:rsidP="00D23AE3">
      <w:pPr>
        <w:spacing w:line="360" w:lineRule="auto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bg-BG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D23AE3">
        <w:rPr>
          <w:color w:val="auto"/>
          <w:sz w:val="24"/>
          <w:szCs w:val="24"/>
          <w:lang w:val="bg-BG"/>
        </w:rPr>
        <w:t>/подпис и печат/</w:t>
      </w:r>
    </w:p>
    <w:sectPr w:rsidR="00D23AE3" w:rsidRPr="00D23AE3" w:rsidSect="002D1C89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134" w:right="1183" w:bottom="709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36" w:rsidRDefault="00917436" w:rsidP="00945D36">
      <w:r>
        <w:separator/>
      </w:r>
    </w:p>
  </w:endnote>
  <w:endnote w:type="continuationSeparator" w:id="0">
    <w:p w:rsidR="00917436" w:rsidRDefault="00917436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Default="00D35E0B" w:rsidP="00B42913">
    <w:pPr>
      <w:pStyle w:val="a5"/>
      <w:framePr w:h="672" w:hRule="exact" w:wrap="around" w:vAnchor="text" w:hAnchor="page" w:x="11086" w:y="-49"/>
      <w:rPr>
        <w:rStyle w:val="a7"/>
      </w:rPr>
    </w:pPr>
    <w:r>
      <w:rPr>
        <w:rStyle w:val="a7"/>
      </w:rPr>
      <w:fldChar w:fldCharType="begin"/>
    </w:r>
    <w:r w:rsidR="00B429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913">
      <w:rPr>
        <w:rStyle w:val="a7"/>
        <w:noProof/>
      </w:rPr>
      <w:t>28</w:t>
    </w:r>
    <w:r>
      <w:rPr>
        <w:rStyle w:val="a7"/>
      </w:rPr>
      <w:fldChar w:fldCharType="end"/>
    </w:r>
  </w:p>
  <w:p w:rsidR="00B42913" w:rsidRDefault="00B42913" w:rsidP="00B4291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36" w:rsidRDefault="00917436" w:rsidP="00945D36">
      <w:r>
        <w:separator/>
      </w:r>
    </w:p>
  </w:footnote>
  <w:footnote w:type="continuationSeparator" w:id="0">
    <w:p w:rsidR="00917436" w:rsidRDefault="00917436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5E0B" w:rsidRPr="00D35E0B">
      <w:rPr>
        <w:rFonts w:ascii="Calibri" w:eastAsia="Calibri" w:hAnsi="Calibri" w:cs="Calibri"/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margin-left:113.25pt;margin-top:.75pt;width:206.25pt;height:73.5pt;z-index:25166643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0E195D"/>
            </w:txbxContent>
          </v:textbox>
          <w10:wrap type="square"/>
        </v:shape>
      </w:pic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C9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lang w:val="bg-BG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4009390</wp:posOffset>
          </wp:positionH>
          <wp:positionV relativeFrom="margin">
            <wp:posOffset>-508000</wp:posOffset>
          </wp:positionV>
          <wp:extent cx="2257425" cy="920750"/>
          <wp:effectExtent l="0" t="0" r="9525" b="0"/>
          <wp:wrapSquare wrapText="bothSides"/>
          <wp:docPr id="47" name="Picture 47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5E0B" w:rsidRPr="00D35E0B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113.25pt;margin-top:9.9pt;width:206.25pt;height:73.5pt;z-index:2516695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Hw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oRbEF9Bm0rcHvQ4OhG2AffkKvV96r5ZJFUtx2RW3ZtjBo6RijEl/mTydnRiGM9&#10;yGZ4qyjcQ3ZOBaCxNb0vHpQDATrw9HTixsfSwGY+y8rL+RSjBmzl5WUxDeQlpDqe1sa610z1yE9q&#10;bID7gE7299b5aEh1dPGXWSU4XXMhwsJsN7fCoD0BnazDFxJ45iakd5bKH4uIcQeChDu8zYcbeP9a&#10;ZnmR3uTlZD1bzCfFuphOynm6mKRZeVPO0qIs7tbffIBZUXWcUibvuWRHDWbF33F86IaonqBCNEB9&#10;pvk0UvTHJNPw/S7JnjtoScH7Gi9OTqTyxL6SFNImlSNcxHnyc/ihylCD4z9UJcjAMx814MbNGBV3&#10;VNdG0SfQhVFAG5APzwlMOmW+YDRAa9bYft4RwzASbyRoq8yKwvdyWBTTeQ4Lc27ZnFuIbACqxg6j&#10;OL11sf932vBtBzdFNUt1DXpseZCKF26M6qBiaL+Q0+Gp8P19vg5ePx601XcAAAD//wMAUEsDBBQA&#10;BgAIAAAAIQANypDE3QAAAAoBAAAPAAAAZHJzL2Rvd25yZXYueG1sTI/BTsMwEETvSPyDtUhcEHUI&#10;1G3SOBUggbi29AOceJtEjddR7Dbp37Oc4LgzT7MzxXZ2vbjgGDpPGp4WCQik2tuOGg2H74/HNYgQ&#10;DVnTe0INVwywLW9vCpNbP9EOL/vYCA6hkBsNbYxDLmWoW3QmLPyAxN7Rj85EPsdG2tFMHO56mSaJ&#10;ks50xB9aM+B7i/Vpf3Yajl/TwzKbqs94WO1e1JvpVpW/an1/N79uQESc4x8Mv/W5OpTcqfJnskH0&#10;GtJULRllI+MJDKjnjMdVLCi1BlkW8v+E8gcAAP//AwBQSwECLQAUAAYACAAAACEAtoM4kv4AAADh&#10;AQAAEwAAAAAAAAAAAAAAAAAAAAAAW0NvbnRlbnRfVHlwZXNdLnhtbFBLAQItABQABgAIAAAAIQA4&#10;/SH/1gAAAJQBAAALAAAAAAAAAAAAAAAAAC8BAABfcmVscy8ucmVsc1BLAQItABQABgAIAAAAIQA3&#10;z6HwhgIAABgFAAAOAAAAAAAAAAAAAAAAAC4CAABkcnMvZTJvRG9jLnhtbFBLAQItABQABgAIAAAA&#10;IQANypDE3QAAAAoBAAAPAAAAAAAAAAAAAAAAAOAEAABkcnMvZG93bnJldi54bWxQSwUGAAAAAAQA&#10;BADzAAAA6gUAAAAA&#10;" stroked="f">
          <v:textbox>
            <w:txbxContent>
              <w:p w:rsidR="00B42913" w:rsidRDefault="00B42913" w:rsidP="002B20FD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Default="00B42913" w:rsidP="002B20FD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2B20FD"/>
            </w:txbxContent>
          </v:textbox>
          <w10:wrap type="square"/>
        </v:shape>
      </w:pict>
    </w:r>
    <w:r>
      <w:rPr>
        <w:noProof/>
        <w:sz w:val="24"/>
        <w:szCs w:val="24"/>
        <w:lang w:val="bg-BG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130175</wp:posOffset>
          </wp:positionV>
          <wp:extent cx="1264285" cy="817245"/>
          <wp:effectExtent l="0" t="0" r="0" b="190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</w:t>
    </w:r>
    <w:r>
      <w:rPr>
        <w:sz w:val="24"/>
        <w:szCs w:val="24"/>
        <w:lang w:val="en-US"/>
      </w:rPr>
      <w:tab/>
    </w:r>
  </w:p>
  <w:p w:rsidR="00B42913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sz w:val="24"/>
        <w:szCs w:val="24"/>
        <w:lang w:val="bg-BG"/>
      </w:rPr>
      <w:drawing>
        <wp:inline distT="0" distB="0" distL="0" distR="0">
          <wp:extent cx="20953095" cy="6984365"/>
          <wp:effectExtent l="0" t="0" r="1905" b="6985"/>
          <wp:docPr id="49" name="Picture 49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  <w:sz w:val="24"/>
        <w:szCs w:val="24"/>
        <w:lang w:val="bg-BG"/>
      </w:rPr>
      <w:drawing>
        <wp:inline distT="0" distB="0" distL="0" distR="0">
          <wp:extent cx="20953095" cy="6984365"/>
          <wp:effectExtent l="0" t="0" r="1905" b="6985"/>
          <wp:docPr id="50" name="Picture 50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3.5pt;height:118.5pt" o:bullet="t">
        <v:imagedata r:id="rId1" o:title="j0432541"/>
      </v:shape>
    </w:pict>
  </w:numPicBullet>
  <w:numPicBullet w:numPicBulletId="1">
    <w:pict>
      <v:shape id="_x0000_i1030" type="#_x0000_t75" style="width:135.75pt;height:135.75pt" o:bullet="t">
        <v:imagedata r:id="rId2" o:title="CGB7B1"/>
      </v:shape>
    </w:pict>
  </w:numPicBullet>
  <w:numPicBullet w:numPicBulletId="2">
    <w:pict>
      <v:shape id="_x0000_i1031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B20FD"/>
    <w:rsid w:val="002D1C89"/>
    <w:rsid w:val="002E694E"/>
    <w:rsid w:val="002E729E"/>
    <w:rsid w:val="003014C9"/>
    <w:rsid w:val="00313C9B"/>
    <w:rsid w:val="003318B9"/>
    <w:rsid w:val="003355B9"/>
    <w:rsid w:val="00427897"/>
    <w:rsid w:val="004659C5"/>
    <w:rsid w:val="004B04E5"/>
    <w:rsid w:val="004E1E6F"/>
    <w:rsid w:val="004E3CC2"/>
    <w:rsid w:val="004F05F3"/>
    <w:rsid w:val="004F1149"/>
    <w:rsid w:val="00540089"/>
    <w:rsid w:val="0054450A"/>
    <w:rsid w:val="00552FB9"/>
    <w:rsid w:val="005B2396"/>
    <w:rsid w:val="005D2E01"/>
    <w:rsid w:val="00624F23"/>
    <w:rsid w:val="00660ACB"/>
    <w:rsid w:val="00691136"/>
    <w:rsid w:val="006D1EA3"/>
    <w:rsid w:val="0070770F"/>
    <w:rsid w:val="00752171"/>
    <w:rsid w:val="00754EC6"/>
    <w:rsid w:val="00761CDC"/>
    <w:rsid w:val="00763CE1"/>
    <w:rsid w:val="007929D8"/>
    <w:rsid w:val="007B053F"/>
    <w:rsid w:val="007D6A4E"/>
    <w:rsid w:val="0081742C"/>
    <w:rsid w:val="008300EF"/>
    <w:rsid w:val="00833404"/>
    <w:rsid w:val="0087118E"/>
    <w:rsid w:val="00877683"/>
    <w:rsid w:val="00877A79"/>
    <w:rsid w:val="008F164C"/>
    <w:rsid w:val="0090190A"/>
    <w:rsid w:val="00901FAB"/>
    <w:rsid w:val="00904335"/>
    <w:rsid w:val="00917436"/>
    <w:rsid w:val="00932C48"/>
    <w:rsid w:val="00945D36"/>
    <w:rsid w:val="009C5B9E"/>
    <w:rsid w:val="009E6822"/>
    <w:rsid w:val="00A06CEA"/>
    <w:rsid w:val="00A739B6"/>
    <w:rsid w:val="00B044BB"/>
    <w:rsid w:val="00B36934"/>
    <w:rsid w:val="00B42913"/>
    <w:rsid w:val="00B62BD5"/>
    <w:rsid w:val="00B7789D"/>
    <w:rsid w:val="00CB1A50"/>
    <w:rsid w:val="00CB6051"/>
    <w:rsid w:val="00D06E9C"/>
    <w:rsid w:val="00D10F60"/>
    <w:rsid w:val="00D143DB"/>
    <w:rsid w:val="00D23AE3"/>
    <w:rsid w:val="00D35E0B"/>
    <w:rsid w:val="00D74F3A"/>
    <w:rsid w:val="00D77726"/>
    <w:rsid w:val="00D77CFE"/>
    <w:rsid w:val="00DA0D3F"/>
    <w:rsid w:val="00DF4008"/>
    <w:rsid w:val="00E62D76"/>
    <w:rsid w:val="00E649CC"/>
    <w:rsid w:val="00E73D08"/>
    <w:rsid w:val="00E75A09"/>
    <w:rsid w:val="00EA0178"/>
    <w:rsid w:val="00EC7CDE"/>
    <w:rsid w:val="00F91306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2016-09-15T12:51:00Z</cp:lastPrinted>
  <dcterms:created xsi:type="dcterms:W3CDTF">2018-07-06T09:12:00Z</dcterms:created>
  <dcterms:modified xsi:type="dcterms:W3CDTF">2018-07-06T09:12:00Z</dcterms:modified>
</cp:coreProperties>
</file>